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7777777" w:rsidR="00E91288" w:rsidRPr="00E91288" w:rsidRDefault="00E91288" w:rsidP="00E91288">
      <w:pPr>
        <w:spacing w:line="360" w:lineRule="auto"/>
        <w:rPr>
          <w:rFonts w:ascii="Univers" w:hAnsi="Univers" w:cs="Calibri"/>
          <w:b/>
          <w:sz w:val="20"/>
          <w:szCs w:val="20"/>
          <w:u w:val="single"/>
        </w:rPr>
      </w:pPr>
      <w:r w:rsidRPr="00E40246">
        <w:rPr>
          <w:rFonts w:ascii="Univers" w:hAnsi="Univers" w:cs="Calibri"/>
          <w:b/>
          <w:sz w:val="20"/>
          <w:szCs w:val="20"/>
          <w:u w:val="single"/>
        </w:rPr>
        <w:t>MODEL</w:t>
      </w:r>
      <w:r w:rsidRPr="00E91288">
        <w:rPr>
          <w:rFonts w:ascii="Univers" w:hAnsi="Univers" w:cs="Calibri"/>
          <w:b/>
          <w:sz w:val="20"/>
          <w:szCs w:val="20"/>
          <w:u w:val="single"/>
        </w:rPr>
        <w:t xml:space="preserve"> 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7B376886" w:rsidR="00E91288" w:rsidRPr="00E91288" w:rsidRDefault="00E40246" w:rsidP="00E91288">
      <w:pPr>
        <w:spacing w:line="360" w:lineRule="auto"/>
        <w:rPr>
          <w:rFonts w:ascii="Univers" w:hAnsi="Univers" w:cs="Calibri"/>
          <w:sz w:val="20"/>
          <w:szCs w:val="20"/>
        </w:rPr>
      </w:pPr>
      <w:r>
        <w:rPr>
          <w:rFonts w:ascii="Univers" w:hAnsi="Univers" w:cs="Calibri"/>
          <w:sz w:val="20"/>
          <w:szCs w:val="20"/>
        </w:rPr>
        <w:t>PerContrasto</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5BB8F30F"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BF5E93">
        <w:rPr>
          <w:rFonts w:ascii="Univers" w:hAnsi="Univers" w:cs="Calibri"/>
          <w:sz w:val="20"/>
          <w:szCs w:val="20"/>
        </w:rPr>
        <w:t>PerContrasto</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0AC23EBB" w14:textId="77777777" w:rsidR="00BF5E93" w:rsidRDefault="00BF5E93" w:rsidP="00E91288">
      <w:pPr>
        <w:spacing w:line="360" w:lineRule="auto"/>
        <w:rPr>
          <w:rFonts w:ascii="Univers" w:hAnsi="Univers" w:cs="Calibri"/>
          <w:b/>
          <w:sz w:val="20"/>
          <w:szCs w:val="20"/>
        </w:rPr>
      </w:pPr>
    </w:p>
    <w:p w14:paraId="6D239F22" w14:textId="615165FB"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57C00B11" w:rsidR="00E91288" w:rsidRPr="00E91288" w:rsidRDefault="00BF5E93" w:rsidP="00E91288">
      <w:pPr>
        <w:tabs>
          <w:tab w:val="left" w:pos="8295"/>
        </w:tabs>
        <w:rPr>
          <w:rFonts w:ascii="Univers" w:hAnsi="Univers" w:cs="Calibri"/>
          <w:sz w:val="20"/>
          <w:szCs w:val="20"/>
        </w:rPr>
      </w:pPr>
      <w:r>
        <w:rPr>
          <w:rFonts w:ascii="Univers" w:hAnsi="Univers" w:cs="Calibri"/>
          <w:sz w:val="20"/>
          <w:szCs w:val="20"/>
        </w:rPr>
        <w:t>PerContrasto praktijk voor Psychotherapie</w:t>
      </w:r>
      <w:r w:rsidR="00E91288" w:rsidRPr="00E91288">
        <w:rPr>
          <w:rFonts w:ascii="Univers" w:hAnsi="Univers" w:cs="Calibri"/>
          <w:sz w:val="20"/>
          <w:szCs w:val="20"/>
        </w:rPr>
        <w:br/>
      </w:r>
    </w:p>
    <w:p w14:paraId="564483E2" w14:textId="55479C38"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BF5E93">
        <w:rPr>
          <w:rFonts w:ascii="Univers" w:hAnsi="Univers" w:cs="Calibri"/>
          <w:sz w:val="20"/>
          <w:szCs w:val="20"/>
        </w:rPr>
        <w:t>13 januari</w:t>
      </w:r>
      <w:r w:rsidRPr="00E91288">
        <w:rPr>
          <w:rFonts w:ascii="Univers" w:hAnsi="Univers" w:cs="Calibri"/>
          <w:sz w:val="20"/>
          <w:szCs w:val="20"/>
        </w:rPr>
        <w:t xml:space="preserve"> 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3400" w14:textId="77777777" w:rsidR="00DB6E20" w:rsidRDefault="00DB6E20" w:rsidP="00E221AB">
      <w:r>
        <w:separator/>
      </w:r>
    </w:p>
  </w:endnote>
  <w:endnote w:type="continuationSeparator" w:id="0">
    <w:p w14:paraId="72B9A553" w14:textId="77777777" w:rsidR="00DB6E20" w:rsidRDefault="00DB6E20"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A012" w14:textId="77777777" w:rsidR="00DB6E20" w:rsidRDefault="00DB6E20" w:rsidP="00E221AB">
      <w:r>
        <w:separator/>
      </w:r>
    </w:p>
  </w:footnote>
  <w:footnote w:type="continuationSeparator" w:id="0">
    <w:p w14:paraId="0C5F9CC0" w14:textId="77777777" w:rsidR="00DB6E20" w:rsidRDefault="00DB6E20"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40246">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40246">
      <w:rPr>
        <w:rFonts w:ascii="Univers" w:hAnsi="Univers"/>
        <w:i/>
        <w:sz w:val="16"/>
        <w:szCs w:val="16"/>
      </w:rPr>
      <w:t>Model Reglement Klachten- en geschillenregeling</w:t>
    </w:r>
    <w:r w:rsidRPr="00E91288">
      <w:rPr>
        <w:rFonts w:ascii="Univers" w:hAnsi="Univers"/>
        <w:i/>
        <w:sz w:val="16"/>
        <w:szCs w:val="16"/>
      </w:rPr>
      <w:t xml:space="preserve">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456621"/>
    <w:rsid w:val="00514B59"/>
    <w:rsid w:val="00740C38"/>
    <w:rsid w:val="007A6ED3"/>
    <w:rsid w:val="007E7EDA"/>
    <w:rsid w:val="007F0D09"/>
    <w:rsid w:val="008907A5"/>
    <w:rsid w:val="00A172C9"/>
    <w:rsid w:val="00A7030B"/>
    <w:rsid w:val="00B427EA"/>
    <w:rsid w:val="00B8355A"/>
    <w:rsid w:val="00BE0185"/>
    <w:rsid w:val="00BF5E93"/>
    <w:rsid w:val="00C76BD2"/>
    <w:rsid w:val="00C9404D"/>
    <w:rsid w:val="00DB1C0C"/>
    <w:rsid w:val="00DB6E20"/>
    <w:rsid w:val="00DC3579"/>
    <w:rsid w:val="00E221AB"/>
    <w:rsid w:val="00E40246"/>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2251</Words>
  <Characters>12381</Characters>
  <Application>Microsoft Office Word</Application>
  <DocSecurity>0</DocSecurity>
  <Lines>103</Lines>
  <Paragraphs>29</Paragraphs>
  <ScaleCrop>false</ScaleCrop>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Claudia Havenith</cp:lastModifiedBy>
  <cp:revision>3</cp:revision>
  <dcterms:created xsi:type="dcterms:W3CDTF">2026-01-13T15:55:00Z</dcterms:created>
  <dcterms:modified xsi:type="dcterms:W3CDTF">2026-01-13T15:56:00Z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